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  <w:spacing w:line="650" w:lineRule="exact"/>
      </w:pPr>
      <w:r>
        <w:drawing>
          <wp:anchor distT="0" distB="0" distL="0" distR="0" simplePos="0" relativeHeight="251658241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310" cy="1908175"/>
            <wp:effectExtent l="0" t="0" r="0" b="0"/>
            <wp:wrapNone/>
            <wp:docPr id="1" name="Headerbån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Headerbånd"/>
                    <pic:cNvPicPr>
                      <a:picLocks noChangeAspect="1"/>
                    </pic:cNvPicPr>
                  </pic:nvPicPr>
                  <pic:blipFill>
                    <a:blip r:embed="rIdBand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90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8242" behindDoc="0" locked="0" layoutInCell="1" allowOverlap="1">
            <wp:simplePos x="0" y="0"/>
            <wp:positionH relativeFrom="page">
              <wp:posOffset>5832475</wp:posOffset>
            </wp:positionH>
            <wp:positionV relativeFrom="page">
              <wp:posOffset>414020</wp:posOffset>
            </wp:positionV>
            <wp:extent cx="1080135" cy="1080135"/>
            <wp:effectExtent l="0" t="0" r="0" b="0"/>
            <wp:wrapNone/>
            <wp:docPr id="2" name="Profilbilled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Profilbillede"/>
                    <pic:cNvPicPr>
                      <a:picLocks noChangeAspect="1"/>
                    </pic:cNvPicPr>
                  </pic:nvPicPr>
                  <pic:blipFill>
                    <a:blip r:embed="rIdPhoto"/>
                    <a:stretch>
                      <a:fillRect/>
                    </a:stretch>
                  </pic:blipFill>
                  <pic:spPr>
                    <a:xfrm>
                      <a:off x="0" y="0"/>
                      <a:ext cx="1080135" cy="1080135"/>
                    </a:xfrm>
                    <a:prstGeom prst="ellipse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</w:rPr>
        <w:t xml:space="preserve">Peter Lindqvist</w:t>
      </w:r>
    </w:p>
    <w:p>
      <w:pPr>
        <w:spacing w:after="100" w:line="340" w:lineRule="exact"/>
      </w:pPr>
      <w:r>
        <w:rPr>
          <w:color w:val="D0D5DD"/>
          <w:sz w:val="25"/>
          <w:szCs w:val="25"/>
        </w:rPr>
        <w:t xml:space="preserve">Økonomidirektør (CFO)</w:t>
      </w:r>
    </w:p>
    <w:p>
      <w:pPr>
        <w:spacing w:after="925" w:line="300" w:lineRule="exact"/>
      </w:pPr>
      <w:r>
        <w:rPr>
          <w:position w:val="-2"/>
        </w:rPr>
        <w:drawing>
          <wp:inline distT="0" distB="0" distL="0" distR="0">
            <wp:extent cx="120650" cy="120650"/>
            <wp:docPr id="3" name="Ikon email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kon email"/>
                    <pic:cNvPicPr>
                      <a:picLocks noChangeAspect="1"/>
                    </pic:cNvPicPr>
                  </pic:nvPicPr>
                  <pic:blipFill>
                    <a:blip r:embed="rIdIcon-email"/>
                    <a:stretch>
                      <a:fillRect/>
                    </a:stretch>
                  </pic:blipFill>
                  <pic:spPr>
                    <a:xfrm>
                      <a:off x="0" y="0"/>
                      <a:ext cx="120650" cy="12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FFFF"/>
        </w:rPr>
        <w:t xml:space="preserve"> peter.lindqvist@email.dk</w:t>
      </w:r>
      <w:r>
        <w:t xml:space="preserve">     </w:t>
      </w:r>
      <w:r>
        <w:rPr>
          <w:position w:val="-2"/>
        </w:rPr>
        <w:drawing>
          <wp:inline distT="0" distB="0" distL="0" distR="0">
            <wp:extent cx="120650" cy="120650"/>
            <wp:docPr id="4" name="Ikon phon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kon phone"/>
                    <pic:cNvPicPr>
                      <a:picLocks noChangeAspect="1"/>
                    </pic:cNvPicPr>
                  </pic:nvPicPr>
                  <pic:blipFill>
                    <a:blip r:embed="rIdIcon-phone"/>
                    <a:stretch>
                      <a:fillRect/>
                    </a:stretch>
                  </pic:blipFill>
                  <pic:spPr>
                    <a:xfrm>
                      <a:off x="0" y="0"/>
                      <a:ext cx="120650" cy="12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FFFF"/>
        </w:rPr>
        <w:t xml:space="preserve"> +45 40 18 62 93</w:t>
      </w:r>
      <w:r>
        <w:t xml:space="preserve">     </w:t>
      </w:r>
      <w:r>
        <w:rPr>
          <w:position w:val="-2"/>
        </w:rPr>
        <w:drawing>
          <wp:inline distT="0" distB="0" distL="0" distR="0">
            <wp:extent cx="120650" cy="120650"/>
            <wp:docPr id="5" name="Ikon locatio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kon location"/>
                    <pic:cNvPicPr>
                      <a:picLocks noChangeAspect="1"/>
                    </pic:cNvPicPr>
                  </pic:nvPicPr>
                  <pic:blipFill>
                    <a:blip r:embed="rIdIcon-location"/>
                    <a:stretch>
                      <a:fillRect/>
                    </a:stretch>
                  </pic:blipFill>
                  <pic:spPr>
                    <a:xfrm>
                      <a:off x="0" y="0"/>
                      <a:ext cx="120650" cy="12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FFFF"/>
        </w:rPr>
        <w:t xml:space="preserve"> Aarhus</w:t>
      </w:r>
    </w:p>
    <w:p>
      <w:pPr>
        <w:pStyle w:val="Heading1"/>
      </w:pPr>
      <w:r>
        <w:t xml:space="preserve">Profil</w:t>
      </w:r>
    </w:p>
    <w:p>
      <w:r>
        <w:t xml:space="preserve">Jeg har over 20 års erfaring med revision og økonomistyring, heraf syv år som CFO i en produktionsvirksomhed. Jeg har styrket indtjening og likviditet gennem tæt samarbejde med drift, indkøb og salg. Jeg søger en CFO-rolle med ansvar for finansiel styring og strategisk udvikling.</w:t>
      </w:r>
    </w:p>
    <w:p>
      <w:pPr>
        <w:pStyle w:val="Heading1"/>
      </w:pPr>
      <w:r>
        <w:t xml:space="preserve">Erhvervserfaring</w:t>
      </w:r>
    </w:p>
    <w:p>
      <w:pPr>
        <w:pStyle w:val="Heading2"/>
        <w:tabs>
          <w:tab w:val="right" w:pos="9866"/>
        </w:tabs>
        <w:spacing w:before="0"/>
      </w:pPr>
      <w:r>
        <w:rPr>
          <w:color w:val="101828"/>
        </w:rPr>
        <w:t xml:space="preserve">Økonomidirektør (CFO)</w:t>
      </w:r>
      <w:r>
        <w:tab/>
      </w:r>
      <w:r>
        <w:rPr>
          <w:rFonts w:ascii="Source Sans 3" w:hAnsi="Source Sans 3" w:cs="Source Sans 3"/>
          <w:color w:val="4B5563"/>
          <w:sz w:val="20"/>
          <w:szCs w:val="20"/>
        </w:rPr>
        <w:t xml:space="preserve">januar 2019 – Nu</w:t>
      </w:r>
    </w:p>
    <w:p>
      <w:pPr>
        <w:keepNext/>
        <w:tabs>
          <w:tab w:val="right" w:pos="9866"/>
        </w:tabs>
        <w:spacing w:after="80"/>
      </w:pPr>
      <w:r>
        <w:rPr>
          <w:b/>
          <w:bCs/>
          <w:color w:val="101828"/>
        </w:rPr>
        <w:t xml:space="preserve">AVK International A/S</w:t>
      </w:r>
      <w:r>
        <w:tab/>
      </w:r>
      <w:r>
        <w:rPr>
          <w:rFonts w:ascii="Source Sans 3" w:hAnsi="Source Sans 3" w:cs="Source Sans 3"/>
          <w:color w:val="4B5563"/>
          <w:sz w:val="20"/>
          <w:szCs w:val="20"/>
        </w:rPr>
        <w:t xml:space="preserve">Galten</w:t>
      </w:r>
    </w:p>
    <w:p>
      <w:pPr>
        <w:pStyle w:val="ListBullet"/>
      </w:pPr>
      <w:r>
        <w:t xml:space="preserve">Leder 12 medarbejdere med ansvar for regnskab, budget, likviditet og koncernrapportering</w:t>
      </w:r>
    </w:p>
    <w:p>
      <w:pPr>
        <w:pStyle w:val="ListBullet"/>
      </w:pPr>
      <w:r>
        <w:t xml:space="preserve">Forbedrede driftsmarginen med 2,1 procentpoint på tre år gennem pris- og omkostningsopfølgning</w:t>
      </w:r>
    </w:p>
    <w:p>
      <w:pPr>
        <w:pStyle w:val="ListBullet"/>
      </w:pPr>
      <w:r>
        <w:t xml:space="preserve">Frigjorde 24 mio. kr. i arbejdskapital sammen med indkøb og salg</w:t>
      </w:r>
    </w:p>
    <w:p>
      <w:pPr>
        <w:pStyle w:val="ListBullet"/>
      </w:pPr>
      <w:r>
        <w:t xml:space="preserve">Forkortede månedsafslutningen fra otte til fem arbejdsdage</w:t>
      </w:r>
    </w:p>
    <w:p>
      <w:pPr>
        <w:pStyle w:val="Heading2"/>
        <w:tabs>
          <w:tab w:val="right" w:pos="9866"/>
        </w:tabs>
        <w:spacing w:before="220"/>
      </w:pPr>
      <w:r>
        <w:rPr>
          <w:color w:val="101828"/>
        </w:rPr>
        <w:t xml:space="preserve">Økonomichef</w:t>
      </w:r>
      <w:r>
        <w:tab/>
      </w:r>
      <w:r>
        <w:rPr>
          <w:rFonts w:ascii="Source Sans 3" w:hAnsi="Source Sans 3" w:cs="Source Sans 3"/>
          <w:color w:val="4B5563"/>
          <w:sz w:val="20"/>
          <w:szCs w:val="20"/>
        </w:rPr>
        <w:t xml:space="preserve">marts 2013 – december 2018</w:t>
      </w:r>
    </w:p>
    <w:p>
      <w:pPr>
        <w:keepNext/>
        <w:tabs>
          <w:tab w:val="right" w:pos="9866"/>
        </w:tabs>
        <w:spacing w:after="80"/>
      </w:pPr>
      <w:r>
        <w:rPr>
          <w:b/>
          <w:bCs/>
          <w:color w:val="101828"/>
        </w:rPr>
        <w:t xml:space="preserve">Danfoss A/S</w:t>
      </w:r>
      <w:r>
        <w:tab/>
      </w:r>
      <w:r>
        <w:rPr>
          <w:rFonts w:ascii="Source Sans 3" w:hAnsi="Source Sans 3" w:cs="Source Sans 3"/>
          <w:color w:val="4B5563"/>
          <w:sz w:val="20"/>
          <w:szCs w:val="20"/>
        </w:rPr>
        <w:t xml:space="preserve">Nordborg</w:t>
      </w:r>
    </w:p>
    <w:p>
      <w:pPr>
        <w:pStyle w:val="ListBullet"/>
      </w:pPr>
      <w:r>
        <w:t xml:space="preserve">Ledede otte controllere i en produktionsenhed med cirka 1.200 medarbejdere</w:t>
      </w:r>
    </w:p>
    <w:p>
      <w:pPr>
        <w:pStyle w:val="ListBullet"/>
      </w:pPr>
      <w:r>
        <w:t xml:space="preserve">Standardiserede rapporteringen for tre fabrikker og reducerede manuelt arbejde med 30 %</w:t>
      </w:r>
    </w:p>
    <w:p>
      <w:pPr>
        <w:pStyle w:val="Heading2"/>
        <w:tabs>
          <w:tab w:val="right" w:pos="9866"/>
        </w:tabs>
        <w:spacing w:before="220"/>
      </w:pPr>
      <w:r>
        <w:rPr>
          <w:color w:val="101828"/>
        </w:rPr>
        <w:t xml:space="preserve">Revisor, senere manager</w:t>
      </w:r>
      <w:r>
        <w:tab/>
      </w:r>
      <w:r>
        <w:rPr>
          <w:rFonts w:ascii="Source Sans 3" w:hAnsi="Source Sans 3" w:cs="Source Sans 3"/>
          <w:color w:val="4B5563"/>
          <w:sz w:val="20"/>
          <w:szCs w:val="20"/>
        </w:rPr>
        <w:t xml:space="preserve">august 2004 – februar 2013</w:t>
      </w:r>
    </w:p>
    <w:p>
      <w:pPr>
        <w:keepNext/>
        <w:tabs>
          <w:tab w:val="right" w:pos="9866"/>
        </w:tabs>
        <w:spacing w:after="80"/>
      </w:pPr>
      <w:r>
        <w:rPr>
          <w:b/>
          <w:bCs/>
          <w:color w:val="101828"/>
        </w:rPr>
        <w:t xml:space="preserve">PwC</w:t>
      </w:r>
      <w:r>
        <w:tab/>
      </w:r>
      <w:r>
        <w:rPr>
          <w:rFonts w:ascii="Source Sans 3" w:hAnsi="Source Sans 3" w:cs="Source Sans 3"/>
          <w:color w:val="4B5563"/>
          <w:sz w:val="20"/>
          <w:szCs w:val="20"/>
        </w:rPr>
        <w:t xml:space="preserve">Aarhus</w:t>
      </w:r>
    </w:p>
    <w:p>
      <w:pPr>
        <w:pStyle w:val="ListBullet"/>
      </w:pPr>
      <w:r>
        <w:t xml:space="preserve">Varetog revision og regnskabsrådgivning for produktions- og handelsvirksomheder</w:t>
      </w:r>
    </w:p>
    <w:p>
      <w:pPr>
        <w:pStyle w:val="ListBullet"/>
      </w:pPr>
      <w:r>
        <w:t xml:space="preserve">Ledede revisionsteams på op til seks og fremlagde anbefalinger for direktioner</w:t>
      </w:r>
    </w:p>
    <w:p>
      <w:pPr>
        <w:pStyle w:val="Heading1"/>
      </w:pPr>
      <w:r>
        <w:t xml:space="preserve">Uddannelse</w:t>
      </w:r>
    </w:p>
    <w:p>
      <w:pPr>
        <w:pStyle w:val="Heading2"/>
        <w:tabs>
          <w:tab w:val="right" w:pos="9866"/>
        </w:tabs>
        <w:spacing w:before="0"/>
      </w:pPr>
      <w:r>
        <w:rPr>
          <w:color w:val="101828"/>
        </w:rPr>
        <w:t xml:space="preserve">Cand.merc.aud.</w:t>
      </w:r>
      <w:r>
        <w:tab/>
      </w:r>
      <w:r>
        <w:rPr>
          <w:rFonts w:ascii="Source Sans 3" w:hAnsi="Source Sans 3" w:cs="Source Sans 3"/>
          <w:color w:val="4B5563"/>
          <w:sz w:val="20"/>
          <w:szCs w:val="20"/>
        </w:rPr>
        <w:t xml:space="preserve">2002 – 2004</w:t>
      </w:r>
    </w:p>
    <w:p>
      <w:r>
        <w:rPr>
          <w:color w:val="4B5563"/>
        </w:rPr>
        <w:t xml:space="preserve">Handelshøjskolen i Århus</w:t>
      </w:r>
    </w:p>
    <w:p>
      <w:pPr>
        <w:pStyle w:val="Heading1"/>
      </w:pPr>
      <w:r>
        <w:t xml:space="preserve">Kompetencer</w:t>
      </w:r>
    </w:p>
    <w:p>
      <w:pPr>
        <w:spacing w:line="460" w:lineRule="auto"/>
      </w:pPr>
      <w:r>
        <w:rPr>
          <w:sz w:val="20"/>
          <w:szCs w:val="20"/>
          <w:bdr w:val="single" w:sz="4" w:space="0" w:color="CCD2DC"/>
        </w:rPr>
        <w:t xml:space="preserve">  Økonomistyring  </w:t>
      </w:r>
      <w:r>
        <w:rPr>
          <w:sz w:val="20"/>
          <w:szCs w:val="20"/>
        </w:rPr>
        <w:t xml:space="preserve">  </w:t>
      </w:r>
      <w:r>
        <w:rPr>
          <w:sz w:val="20"/>
          <w:szCs w:val="20"/>
          <w:bdr w:val="single" w:sz="4" w:space="0" w:color="CCD2DC"/>
        </w:rPr>
        <w:t xml:space="preserve">  Produktionscontrolling  </w:t>
      </w:r>
      <w:r>
        <w:rPr>
          <w:sz w:val="20"/>
          <w:szCs w:val="20"/>
        </w:rPr>
        <w:t xml:space="preserve">  </w:t>
      </w:r>
      <w:r>
        <w:rPr>
          <w:sz w:val="20"/>
          <w:szCs w:val="20"/>
          <w:bdr w:val="single" w:sz="4" w:space="0" w:color="CCD2DC"/>
        </w:rPr>
        <w:t xml:space="preserve">  Likviditetsstyring  </w:t>
      </w:r>
      <w:r>
        <w:rPr>
          <w:sz w:val="20"/>
          <w:szCs w:val="20"/>
        </w:rPr>
        <w:t xml:space="preserve">  </w:t>
      </w:r>
      <w:r>
        <w:rPr>
          <w:sz w:val="20"/>
          <w:szCs w:val="20"/>
          <w:bdr w:val="single" w:sz="4" w:space="0" w:color="CCD2DC"/>
        </w:rPr>
        <w:t xml:space="preserve">  Budget og forecast  </w:t>
      </w:r>
      <w:r>
        <w:rPr>
          <w:sz w:val="20"/>
          <w:szCs w:val="20"/>
        </w:rPr>
        <w:t xml:space="preserve">  </w:t>
      </w:r>
      <w:r>
        <w:rPr>
          <w:sz w:val="20"/>
          <w:szCs w:val="20"/>
          <w:bdr w:val="single" w:sz="4" w:space="0" w:color="CCD2DC"/>
        </w:rPr>
        <w:t xml:space="preserve">  Koncernrapportering  </w:t>
      </w:r>
      <w:r>
        <w:rPr>
          <w:sz w:val="20"/>
          <w:szCs w:val="20"/>
        </w:rPr>
        <w:t xml:space="preserve">  </w:t>
      </w:r>
      <w:r>
        <w:rPr>
          <w:sz w:val="20"/>
          <w:szCs w:val="20"/>
          <w:bdr w:val="single" w:sz="4" w:space="0" w:color="CCD2DC"/>
        </w:rPr>
        <w:t xml:space="preserve">  Investeringsanalyser  </w:t>
      </w:r>
      <w:r>
        <w:rPr>
          <w:sz w:val="20"/>
          <w:szCs w:val="20"/>
        </w:rPr>
        <w:t xml:space="preserve">  </w:t>
      </w:r>
      <w:r>
        <w:rPr>
          <w:sz w:val="20"/>
          <w:szCs w:val="20"/>
          <w:bdr w:val="single" w:sz="4" w:space="0" w:color="CCD2DC"/>
        </w:rPr>
        <w:t xml:space="preserve">  SAP FI/CO  </w:t>
      </w:r>
      <w:r>
        <w:rPr>
          <w:sz w:val="20"/>
          <w:szCs w:val="20"/>
        </w:rPr>
        <w:t xml:space="preserve">  </w:t>
      </w:r>
      <w:r>
        <w:rPr>
          <w:sz w:val="20"/>
          <w:szCs w:val="20"/>
          <w:bdr w:val="single" w:sz="4" w:space="0" w:color="CCD2DC"/>
        </w:rPr>
        <w:t xml:space="preserve">  Power BI  </w:t>
      </w:r>
    </w:p>
    <w:p>
      <w:pPr>
        <w:pStyle w:val="Heading1"/>
      </w:pPr>
      <w:r>
        <w:t xml:space="preserve">Sprog</w:t>
      </w:r>
    </w:p>
    <w:p>
      <w:pPr>
        <w:tabs>
          <w:tab w:val="right" w:pos="4633"/>
          <w:tab w:val="left" w:pos="5233"/>
          <w:tab w:val="right" w:pos="9866"/>
        </w:tabs>
        <w:spacing w:after="60"/>
      </w:pPr>
      <w:r>
        <w:rPr>
          <w:b/>
          <w:bCs/>
          <w:color w:val="101828"/>
        </w:rPr>
        <w:t xml:space="preserve">Dansk</w:t>
      </w:r>
      <w:r>
        <w:tab/>
      </w:r>
      <w:r>
        <w:rPr>
          <w:color w:val="4B5563"/>
          <w:sz w:val="20"/>
          <w:szCs w:val="20"/>
        </w:rPr>
        <w:t xml:space="preserve">Modersmål</w:t>
      </w:r>
      <w:r>
        <w:tab/>
      </w:r>
      <w:r>
        <w:rPr>
          <w:b/>
          <w:bCs/>
          <w:color w:val="101828"/>
        </w:rPr>
        <w:t xml:space="preserve">Engelsk</w:t>
      </w:r>
      <w:r>
        <w:tab/>
      </w:r>
      <w:r>
        <w:rPr>
          <w:color w:val="4B5563"/>
          <w:sz w:val="20"/>
          <w:szCs w:val="20"/>
        </w:rPr>
        <w:t xml:space="preserve">Forhandlingsniveau</w:t>
      </w:r>
    </w:p>
    <w:p>
      <w:pPr>
        <w:tabs>
          <w:tab w:val="right" w:pos="4633"/>
          <w:tab w:val="left" w:pos="5233"/>
          <w:tab w:val="right" w:pos="9866"/>
        </w:tabs>
        <w:spacing w:after="60"/>
      </w:pPr>
      <w:r>
        <w:rPr>
          <w:b/>
          <w:bCs/>
          <w:color w:val="101828"/>
        </w:rPr>
        <w:t xml:space="preserve">Tysk</w:t>
      </w:r>
      <w:r>
        <w:tab/>
      </w:r>
      <w:r>
        <w:rPr>
          <w:color w:val="4B5563"/>
          <w:sz w:val="20"/>
          <w:szCs w:val="20"/>
        </w:rPr>
        <w:t xml:space="preserve">Godt kendskab</w:t>
      </w:r>
    </w:p>
    <w:sectPr>
      <w:pgSz w:w="11906" w:h="16838"/>
      <w:pgMar w:top="850" w:right="1020" w:bottom="1020" w:left="1020" w:header="708" w:footer="708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font w:name="Merriweather">
    <w:embedBold r:id="rIdFont0" w:fontKey="{F3053759-0000-4000-8000-000000000000}"/>
  </w:font>
  <w:font w:name="Source Sans 3">
    <w:embedRegular r:id="rIdFont1" w:fontKey="{840207CF-0000-4000-8000-000000000001}"/>
    <w:embedBold r:id="rIdFont2" w:fontKey="{1D0B5675-0000-4000-8000-000000000002}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00" w:hanging="22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Source Sans 3" w:hAnsi="Source Sans 3" w:cs="Source Sans 3"/>
        <w:color w:val="1F2937"/>
        <w:sz w:val="21"/>
        <w:szCs w:val="21"/>
        <w:lang w:val="da-DK"/>
      </w:rPr>
    </w:rPrDefault>
    <w:pPrDefault>
      <w:pPr>
        <w:spacing w:after="0" w:line="33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rPr>
      <w:rFonts w:ascii="Merriweather" w:hAnsi="Merriweather" w:cs="Merriweather"/>
      <w:b/>
      <w:bCs/>
      <w:sz w:val="52"/>
      <w:szCs w:val="52"/>
    </w:rPr>
  </w:style>
  <w:style w:type="paragraph" w:styleId="Heading1">
    <w:name w:val="heading 1"/>
    <w:basedOn w:val="Normal"/>
    <w:next w:val="Normal"/>
    <w:qFormat/>
    <w:pPr>
      <w:keepNext/>
      <w:spacing w:before="400" w:after="140" w:line="240" w:lineRule="auto"/>
      <w:outlineLvl w:val="0"/>
    </w:pPr>
    <w:rPr>
      <w:rFonts w:ascii="Merriweather" w:hAnsi="Merriweather" w:cs="Merriweather"/>
      <w:b/>
      <w:bCs/>
      <w:caps/>
      <w:color w:val="101828"/>
      <w:spacing w:val="24"/>
      <w:sz w:val="24"/>
      <w:szCs w:val="24"/>
    </w:rPr>
  </w:style>
  <w:style w:type="paragraph" w:styleId="Heading2">
    <w:name w:val="heading 2"/>
    <w:basedOn w:val="Normal"/>
    <w:next w:val="Normal"/>
    <w:qFormat/>
    <w:pPr>
      <w:keepNext/>
      <w:spacing w:after="0" w:line="276" w:lineRule="auto"/>
      <w:outlineLvl w:val="1"/>
    </w:pPr>
    <w:rPr>
      <w:rFonts w:ascii="Merriweather" w:hAnsi="Merriweather" w:cs="Merriweather"/>
      <w:b/>
      <w:bCs/>
      <w:sz w:val="25"/>
      <w:szCs w:val="25"/>
    </w:rPr>
  </w:style>
  <w:style w:type="paragraph" w:styleId="ListBullet">
    <w:name w:val="List Bullet"/>
    <w:basedOn w:val="Normal"/>
    <w:qFormat/>
    <w:pPr>
      <w:numPr>
        <w:numId w:val="1"/>
      </w:numPr>
      <w:spacing w:after="30" w:line="312" w:lineRule="auto"/>
      <w:ind w:left="300" w:hanging="22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Photo" Type="http://schemas.openxmlformats.org/officeDocument/2006/relationships/image" Target="media/portraet.jpg"/><Relationship Id="rIdBand" Type="http://schemas.openxmlformats.org/officeDocument/2006/relationships/image" Target="media/baand.png"/><Relationship Id="rIdIcon-email" Type="http://schemas.openxmlformats.org/officeDocument/2006/relationships/image" Target="media/ikon-email.png"/><Relationship Id="rIdIcon-phone" Type="http://schemas.openxmlformats.org/officeDocument/2006/relationships/image" Target="media/ikon-phone.png"/><Relationship Id="rIdIcon-location" Type="http://schemas.openxmlformats.org/officeDocument/2006/relationships/image" Target="media/ikon-location.png"/></Relationships>
</file>

<file path=word/_rels/fontTable.xml.rels><?xml version="1.0" encoding="UTF-8" standalone="yes"?>
<Relationships xmlns="http://schemas.openxmlformats.org/package/2006/relationships"><Relationship Id="rIdFont0" Type="http://schemas.openxmlformats.org/officeDocument/2006/relationships/font" Target="fonts/font1.odttf"/><Relationship Id="rIdFont1" Type="http://schemas.openxmlformats.org/officeDocument/2006/relationships/font" Target="fonts/font2.odttf"/><Relationship Id="rIdFont2" Type="http://schemas.openxmlformats.org/officeDocument/2006/relationships/font" Target="fonts/font3.odttf"/></Relationships>
</file>